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999" w:rsidRPr="00333999" w:rsidRDefault="00333999" w:rsidP="00333999">
      <w:pPr>
        <w:widowControl/>
        <w:tabs>
          <w:tab w:val="left" w:pos="450"/>
          <w:tab w:val="left" w:pos="1080"/>
          <w:tab w:val="left" w:pos="1170"/>
          <w:tab w:val="left" w:pos="3690"/>
          <w:tab w:val="left" w:pos="8280"/>
        </w:tabs>
        <w:suppressAutoHyphens/>
        <w:jc w:val="center"/>
        <w:rPr>
          <w:rFonts w:ascii="Calibri Light" w:hAnsi="Calibri Light"/>
          <w:b/>
          <w:noProof/>
        </w:rPr>
      </w:pPr>
      <w:r w:rsidRPr="00333999">
        <w:rPr>
          <w:rFonts w:ascii="Calibri Light" w:hAnsi="Calibri Light"/>
          <w:b/>
          <w:noProof/>
        </w:rPr>
        <w:t>APPENDIX D</w:t>
      </w:r>
    </w:p>
    <w:p w:rsidR="00333999" w:rsidRPr="00333999" w:rsidRDefault="00333999" w:rsidP="00333999">
      <w:pPr>
        <w:widowControl/>
        <w:tabs>
          <w:tab w:val="left" w:pos="450"/>
          <w:tab w:val="left" w:pos="1080"/>
          <w:tab w:val="left" w:pos="1170"/>
          <w:tab w:val="left" w:pos="3690"/>
          <w:tab w:val="left" w:pos="8280"/>
        </w:tabs>
        <w:suppressAutoHyphens/>
        <w:jc w:val="center"/>
        <w:rPr>
          <w:rFonts w:ascii="Calibri Light" w:hAnsi="Calibri Light"/>
          <w:b/>
          <w:noProof/>
        </w:rPr>
      </w:pPr>
    </w:p>
    <w:p w:rsidR="00333999" w:rsidRPr="00333999" w:rsidRDefault="00333999" w:rsidP="00333999">
      <w:pPr>
        <w:widowControl/>
        <w:tabs>
          <w:tab w:val="left" w:pos="450"/>
          <w:tab w:val="left" w:pos="1080"/>
          <w:tab w:val="left" w:pos="1170"/>
          <w:tab w:val="left" w:pos="3690"/>
          <w:tab w:val="left" w:pos="8280"/>
        </w:tabs>
        <w:suppressAutoHyphens/>
        <w:jc w:val="center"/>
        <w:rPr>
          <w:rFonts w:ascii="Calibri Light" w:hAnsi="Calibri Light"/>
          <w:b/>
          <w:caps/>
          <w:noProof/>
          <w:sz w:val="22"/>
        </w:rPr>
      </w:pPr>
      <w:r w:rsidRPr="00333999">
        <w:rPr>
          <w:rFonts w:ascii="Calibri Light" w:hAnsi="Calibri Light"/>
          <w:b/>
          <w:caps/>
          <w:noProof/>
          <w:sz w:val="22"/>
        </w:rPr>
        <w:t>“Associated Firms” and “Umbrella Firms”</w:t>
      </w:r>
    </w:p>
    <w:p w:rsidR="00333999" w:rsidRPr="00333999" w:rsidRDefault="00333999" w:rsidP="00333999">
      <w:pPr>
        <w:widowControl/>
        <w:pBdr>
          <w:bottom w:val="thinThickSmallGap" w:sz="12" w:space="1" w:color="auto"/>
        </w:pBdr>
        <w:tabs>
          <w:tab w:val="left" w:pos="450"/>
          <w:tab w:val="left" w:pos="1080"/>
          <w:tab w:val="left" w:pos="1170"/>
          <w:tab w:val="left" w:pos="3690"/>
          <w:tab w:val="left" w:pos="8280"/>
        </w:tabs>
        <w:suppressAutoHyphens/>
        <w:jc w:val="center"/>
        <w:rPr>
          <w:rFonts w:ascii="Calibri Light" w:hAnsi="Calibri Light"/>
          <w:noProof/>
        </w:rPr>
      </w:pPr>
    </w:p>
    <w:p w:rsidR="00333999" w:rsidRPr="00333999" w:rsidRDefault="00333999" w:rsidP="00333999">
      <w:pPr>
        <w:widowControl/>
        <w:tabs>
          <w:tab w:val="left" w:pos="450"/>
          <w:tab w:val="left" w:pos="1080"/>
          <w:tab w:val="left" w:pos="1170"/>
          <w:tab w:val="left" w:pos="3690"/>
          <w:tab w:val="left" w:pos="8280"/>
        </w:tabs>
        <w:suppressAutoHyphens/>
        <w:jc w:val="center"/>
        <w:rPr>
          <w:rFonts w:ascii="Calibri Light" w:hAnsi="Calibri Light"/>
          <w:noProof/>
        </w:rPr>
      </w:pPr>
    </w:p>
    <w:p w:rsidR="00333999" w:rsidRPr="00333999" w:rsidRDefault="00333999" w:rsidP="00333999">
      <w:pPr>
        <w:widowControl/>
        <w:tabs>
          <w:tab w:val="left" w:pos="450"/>
          <w:tab w:val="left" w:pos="1080"/>
          <w:tab w:val="left" w:pos="1170"/>
          <w:tab w:val="left" w:pos="3690"/>
          <w:tab w:val="left" w:pos="8280"/>
        </w:tabs>
        <w:suppressAutoHyphens/>
        <w:jc w:val="center"/>
        <w:rPr>
          <w:rFonts w:ascii="Calibri Light" w:hAnsi="Calibri Light"/>
          <w:noProof/>
        </w:rPr>
      </w:pPr>
      <w:r w:rsidRPr="00333999">
        <w:rPr>
          <w:rFonts w:ascii="Calibri Light" w:hAnsi="Calibri Light"/>
          <w:noProof/>
        </w:rPr>
        <w:t xml:space="preserve"> </w:t>
      </w:r>
    </w:p>
    <w:tbl>
      <w:tblPr>
        <w:tblW w:w="0" w:type="auto"/>
        <w:tblLook w:val="01E0" w:firstRow="1" w:lastRow="1" w:firstColumn="1" w:lastColumn="1" w:noHBand="0" w:noVBand="0"/>
      </w:tblPr>
      <w:tblGrid>
        <w:gridCol w:w="1548"/>
        <w:gridCol w:w="5490"/>
      </w:tblGrid>
      <w:tr w:rsidR="00333999" w:rsidRPr="00333999" w:rsidTr="00F413AC">
        <w:trPr>
          <w:trHeight w:val="242"/>
        </w:trPr>
        <w:tc>
          <w:tcPr>
            <w:tcW w:w="1548" w:type="dxa"/>
            <w:shd w:val="clear" w:color="auto" w:fill="auto"/>
          </w:tcPr>
          <w:p w:rsidR="00333999" w:rsidRPr="00333999" w:rsidRDefault="00333999" w:rsidP="00333999">
            <w:pPr>
              <w:widowControl/>
              <w:tabs>
                <w:tab w:val="left" w:pos="450"/>
                <w:tab w:val="left" w:pos="1080"/>
                <w:tab w:val="left" w:pos="1170"/>
                <w:tab w:val="left" w:pos="3690"/>
                <w:tab w:val="left" w:pos="8280"/>
              </w:tabs>
              <w:suppressAutoHyphens/>
              <w:jc w:val="both"/>
              <w:rPr>
                <w:rFonts w:ascii="Calibri Light" w:hAnsi="Calibri Light"/>
                <w:noProof/>
                <w:sz w:val="22"/>
                <w:szCs w:val="22"/>
              </w:rPr>
            </w:pPr>
            <w:r w:rsidRPr="00333999">
              <w:rPr>
                <w:rFonts w:ascii="Calibri Light" w:hAnsi="Calibri Light"/>
                <w:noProof/>
                <w:sz w:val="22"/>
                <w:szCs w:val="22"/>
              </w:rPr>
              <w:t>Name of Firm:</w:t>
            </w:r>
          </w:p>
        </w:tc>
        <w:tc>
          <w:tcPr>
            <w:tcW w:w="5490" w:type="dxa"/>
            <w:tcBorders>
              <w:bottom w:val="single" w:sz="4" w:space="0" w:color="auto"/>
            </w:tcBorders>
            <w:shd w:val="clear" w:color="auto" w:fill="auto"/>
          </w:tcPr>
          <w:p w:rsidR="00333999" w:rsidRPr="00333999" w:rsidRDefault="00333999" w:rsidP="00333999">
            <w:pPr>
              <w:widowControl/>
              <w:tabs>
                <w:tab w:val="left" w:pos="450"/>
                <w:tab w:val="left" w:pos="1080"/>
                <w:tab w:val="left" w:pos="1170"/>
                <w:tab w:val="left" w:pos="3690"/>
                <w:tab w:val="left" w:pos="8280"/>
              </w:tabs>
              <w:suppressAutoHyphens/>
              <w:jc w:val="both"/>
              <w:rPr>
                <w:rFonts w:ascii="Calibri Light" w:hAnsi="Calibri Light"/>
                <w:noProof/>
                <w:sz w:val="22"/>
                <w:szCs w:val="22"/>
              </w:rPr>
            </w:pPr>
            <w:r w:rsidRPr="00333999">
              <w:rPr>
                <w:rFonts w:ascii="Calibri Light" w:hAnsi="Calibri Light"/>
                <w:noProof/>
                <w:spacing w:val="-2"/>
                <w:sz w:val="22"/>
              </w:rPr>
              <w:t>McMillan LLP</w:t>
            </w:r>
          </w:p>
        </w:tc>
      </w:tr>
    </w:tbl>
    <w:p w:rsidR="00333999" w:rsidRPr="00333999" w:rsidRDefault="00333999" w:rsidP="00333999">
      <w:pPr>
        <w:tabs>
          <w:tab w:val="left" w:pos="0"/>
        </w:tabs>
        <w:suppressAutoHyphens/>
        <w:jc w:val="both"/>
        <w:rPr>
          <w:rFonts w:ascii="Calibri Light" w:hAnsi="Calibri Light"/>
          <w:spacing w:val="-2"/>
          <w:sz w:val="22"/>
        </w:rPr>
      </w:pPr>
    </w:p>
    <w:p w:rsidR="00333999" w:rsidRPr="00333999" w:rsidRDefault="00333999" w:rsidP="00333999">
      <w:pPr>
        <w:numPr>
          <w:ilvl w:val="0"/>
          <w:numId w:val="1"/>
        </w:numPr>
        <w:tabs>
          <w:tab w:val="left" w:pos="0"/>
          <w:tab w:val="left" w:pos="720"/>
        </w:tabs>
        <w:suppressAutoHyphens/>
        <w:spacing w:after="160"/>
        <w:jc w:val="both"/>
        <w:rPr>
          <w:rFonts w:ascii="Calibri Light" w:hAnsi="Calibri Light"/>
          <w:spacing w:val="-2"/>
          <w:sz w:val="22"/>
        </w:rPr>
      </w:pPr>
      <w:r w:rsidRPr="00333999">
        <w:rPr>
          <w:rFonts w:ascii="Calibri Light" w:hAnsi="Calibri Light"/>
          <w:spacing w:val="-2"/>
          <w:sz w:val="22"/>
        </w:rPr>
        <w:t xml:space="preserve">The Named Insureds under the CLLAS policies are McMillan LLP; McMillan S.E.N.C.R.L., </w:t>
      </w:r>
      <w:proofErr w:type="spellStart"/>
      <w:r w:rsidRPr="00333999">
        <w:rPr>
          <w:rFonts w:ascii="Calibri Light" w:hAnsi="Calibri Light"/>
          <w:spacing w:val="-2"/>
          <w:sz w:val="22"/>
        </w:rPr>
        <w:t>s.r.l</w:t>
      </w:r>
      <w:proofErr w:type="spellEnd"/>
      <w:r w:rsidRPr="00333999">
        <w:rPr>
          <w:rFonts w:ascii="Calibri Light" w:hAnsi="Calibri Light"/>
          <w:spacing w:val="-2"/>
          <w:sz w:val="22"/>
        </w:rPr>
        <w:t xml:space="preserve">.; McMillan </w:t>
      </w:r>
      <w:proofErr w:type="spellStart"/>
      <w:r w:rsidRPr="00333999">
        <w:rPr>
          <w:rFonts w:ascii="Calibri Light" w:hAnsi="Calibri Light"/>
          <w:spacing w:val="-2"/>
          <w:sz w:val="22"/>
        </w:rPr>
        <w:t>Binch</w:t>
      </w:r>
      <w:proofErr w:type="spellEnd"/>
      <w:r w:rsidRPr="00333999">
        <w:rPr>
          <w:rFonts w:ascii="Calibri Light" w:hAnsi="Calibri Light"/>
          <w:spacing w:val="-2"/>
          <w:sz w:val="22"/>
        </w:rPr>
        <w:t xml:space="preserve"> Mendelsohn LLP; McMillan </w:t>
      </w:r>
      <w:proofErr w:type="spellStart"/>
      <w:r w:rsidRPr="00333999">
        <w:rPr>
          <w:rFonts w:ascii="Calibri Light" w:hAnsi="Calibri Light"/>
          <w:spacing w:val="-2"/>
          <w:sz w:val="22"/>
        </w:rPr>
        <w:t>Binch</w:t>
      </w:r>
      <w:proofErr w:type="spellEnd"/>
      <w:r w:rsidRPr="00333999">
        <w:rPr>
          <w:rFonts w:ascii="Calibri Light" w:hAnsi="Calibri Light"/>
          <w:spacing w:val="-2"/>
          <w:sz w:val="22"/>
        </w:rPr>
        <w:t xml:space="preserve"> LLP and Mendelsohn </w:t>
      </w:r>
      <w:proofErr w:type="spellStart"/>
      <w:r w:rsidRPr="00333999">
        <w:rPr>
          <w:rFonts w:ascii="Calibri Light" w:hAnsi="Calibri Light"/>
          <w:spacing w:val="-2"/>
          <w:sz w:val="22"/>
        </w:rPr>
        <w:t>s.e.n.c</w:t>
      </w:r>
      <w:proofErr w:type="spellEnd"/>
      <w:r w:rsidRPr="00333999">
        <w:rPr>
          <w:rFonts w:ascii="Calibri Light" w:hAnsi="Calibri Light"/>
          <w:spacing w:val="-2"/>
          <w:sz w:val="22"/>
        </w:rPr>
        <w:t>.</w:t>
      </w:r>
    </w:p>
    <w:p w:rsidR="00333999" w:rsidRPr="00333999" w:rsidRDefault="00333999" w:rsidP="00333999">
      <w:pPr>
        <w:numPr>
          <w:ilvl w:val="0"/>
          <w:numId w:val="1"/>
        </w:numPr>
        <w:tabs>
          <w:tab w:val="left" w:pos="0"/>
          <w:tab w:val="left" w:pos="720"/>
        </w:tabs>
        <w:suppressAutoHyphens/>
        <w:spacing w:after="160"/>
        <w:jc w:val="both"/>
        <w:rPr>
          <w:rFonts w:ascii="Calibri Light" w:hAnsi="Calibri Light"/>
          <w:spacing w:val="-2"/>
          <w:sz w:val="22"/>
        </w:rPr>
      </w:pPr>
      <w:r w:rsidRPr="00333999">
        <w:rPr>
          <w:rFonts w:ascii="Calibri Light" w:hAnsi="Calibri Light"/>
          <w:spacing w:val="-2"/>
          <w:sz w:val="22"/>
        </w:rPr>
        <w:t>The Firm has offices in Toronto, Ottawa, Vancouver, Calgary, Montreal and Hong Kong.</w:t>
      </w:r>
    </w:p>
    <w:p w:rsidR="00333999" w:rsidRPr="00333999" w:rsidRDefault="00333999" w:rsidP="00333999">
      <w:pPr>
        <w:numPr>
          <w:ilvl w:val="0"/>
          <w:numId w:val="1"/>
        </w:numPr>
        <w:tabs>
          <w:tab w:val="left" w:pos="0"/>
          <w:tab w:val="left" w:pos="720"/>
        </w:tabs>
        <w:suppressAutoHyphens/>
        <w:spacing w:after="160"/>
        <w:jc w:val="both"/>
        <w:rPr>
          <w:rFonts w:ascii="Calibri Light" w:hAnsi="Calibri Light"/>
          <w:spacing w:val="-2"/>
          <w:sz w:val="22"/>
        </w:rPr>
      </w:pPr>
      <w:r w:rsidRPr="00333999">
        <w:rPr>
          <w:rFonts w:ascii="Calibri Light" w:hAnsi="Calibri Light"/>
          <w:spacing w:val="-2"/>
          <w:sz w:val="22"/>
        </w:rPr>
        <w:t xml:space="preserve">On May 1, 2005, McMillan </w:t>
      </w:r>
      <w:proofErr w:type="spellStart"/>
      <w:r w:rsidRPr="00333999">
        <w:rPr>
          <w:rFonts w:ascii="Calibri Light" w:hAnsi="Calibri Light"/>
          <w:spacing w:val="-2"/>
          <w:sz w:val="22"/>
        </w:rPr>
        <w:t>Binch</w:t>
      </w:r>
      <w:proofErr w:type="spellEnd"/>
      <w:r w:rsidRPr="00333999">
        <w:rPr>
          <w:rFonts w:ascii="Calibri Light" w:hAnsi="Calibri Light"/>
          <w:spacing w:val="-2"/>
          <w:sz w:val="22"/>
        </w:rPr>
        <w:t xml:space="preserve"> LLP merged with Mendelsohn </w:t>
      </w:r>
      <w:proofErr w:type="spellStart"/>
      <w:r w:rsidRPr="00333999">
        <w:rPr>
          <w:rFonts w:ascii="Calibri Light" w:hAnsi="Calibri Light"/>
          <w:spacing w:val="-2"/>
          <w:sz w:val="22"/>
        </w:rPr>
        <w:t>s.e.n.c</w:t>
      </w:r>
      <w:proofErr w:type="spellEnd"/>
      <w:r w:rsidRPr="00333999">
        <w:rPr>
          <w:rFonts w:ascii="Calibri Light" w:hAnsi="Calibri Light"/>
          <w:spacing w:val="-2"/>
          <w:sz w:val="22"/>
        </w:rPr>
        <w:t xml:space="preserve">. to form McMillan </w:t>
      </w:r>
      <w:proofErr w:type="spellStart"/>
      <w:r w:rsidRPr="00333999">
        <w:rPr>
          <w:rFonts w:ascii="Calibri Light" w:hAnsi="Calibri Light"/>
          <w:spacing w:val="-2"/>
          <w:sz w:val="22"/>
        </w:rPr>
        <w:t>Binch</w:t>
      </w:r>
      <w:proofErr w:type="spellEnd"/>
      <w:r w:rsidRPr="00333999">
        <w:rPr>
          <w:rFonts w:ascii="Calibri Light" w:hAnsi="Calibri Light"/>
          <w:spacing w:val="-2"/>
          <w:sz w:val="22"/>
        </w:rPr>
        <w:t xml:space="preserve"> Mendelsohn LLP.</w:t>
      </w:r>
    </w:p>
    <w:p w:rsidR="00333999" w:rsidRPr="00333999" w:rsidRDefault="00333999" w:rsidP="00333999">
      <w:pPr>
        <w:numPr>
          <w:ilvl w:val="0"/>
          <w:numId w:val="1"/>
        </w:numPr>
        <w:tabs>
          <w:tab w:val="left" w:pos="0"/>
          <w:tab w:val="left" w:pos="720"/>
        </w:tabs>
        <w:suppressAutoHyphens/>
        <w:spacing w:after="160"/>
        <w:jc w:val="both"/>
        <w:rPr>
          <w:rFonts w:ascii="Calibri Light" w:hAnsi="Calibri Light"/>
          <w:spacing w:val="-2"/>
          <w:sz w:val="22"/>
        </w:rPr>
      </w:pPr>
      <w:r w:rsidRPr="00333999">
        <w:rPr>
          <w:rFonts w:ascii="Calibri Light" w:hAnsi="Calibri Light"/>
          <w:spacing w:val="-2"/>
          <w:sz w:val="22"/>
        </w:rPr>
        <w:t xml:space="preserve">On May 28, 2008, McMillan </w:t>
      </w:r>
      <w:proofErr w:type="spellStart"/>
      <w:r w:rsidRPr="00333999">
        <w:rPr>
          <w:rFonts w:ascii="Calibri Light" w:hAnsi="Calibri Light"/>
          <w:spacing w:val="-2"/>
          <w:sz w:val="22"/>
        </w:rPr>
        <w:t>Binch</w:t>
      </w:r>
      <w:proofErr w:type="spellEnd"/>
      <w:r w:rsidRPr="00333999">
        <w:rPr>
          <w:rFonts w:ascii="Calibri Light" w:hAnsi="Calibri Light"/>
          <w:spacing w:val="-2"/>
          <w:sz w:val="22"/>
        </w:rPr>
        <w:t xml:space="preserve"> Mendelsohn LLP changed its registered business name to McMillan LLP and McMillan S.E.N.C.R.L., </w:t>
      </w:r>
      <w:proofErr w:type="spellStart"/>
      <w:r w:rsidRPr="00333999">
        <w:rPr>
          <w:rFonts w:ascii="Calibri Light" w:hAnsi="Calibri Light"/>
          <w:spacing w:val="-2"/>
          <w:sz w:val="22"/>
        </w:rPr>
        <w:t>s.r.l</w:t>
      </w:r>
      <w:proofErr w:type="spellEnd"/>
      <w:r w:rsidRPr="00333999">
        <w:rPr>
          <w:rFonts w:ascii="Calibri Light" w:hAnsi="Calibri Light"/>
          <w:spacing w:val="-2"/>
          <w:sz w:val="22"/>
        </w:rPr>
        <w:t xml:space="preserve">. in </w:t>
      </w:r>
      <w:smartTag w:uri="urn:schemas-microsoft-com:office:smarttags" w:element="place">
        <w:smartTag w:uri="urn:schemas-microsoft-com:office:smarttags" w:element="State">
          <w:r w:rsidRPr="00333999">
            <w:rPr>
              <w:rFonts w:ascii="Calibri Light" w:hAnsi="Calibri Light"/>
              <w:spacing w:val="-2"/>
              <w:sz w:val="22"/>
            </w:rPr>
            <w:t>Quebec</w:t>
          </w:r>
        </w:smartTag>
      </w:smartTag>
      <w:r w:rsidRPr="00333999">
        <w:rPr>
          <w:rFonts w:ascii="Calibri Light" w:hAnsi="Calibri Light"/>
          <w:spacing w:val="-2"/>
          <w:sz w:val="22"/>
        </w:rPr>
        <w:t>.</w:t>
      </w:r>
    </w:p>
    <w:p w:rsidR="00333999" w:rsidRPr="00333999" w:rsidRDefault="00333999" w:rsidP="00333999">
      <w:pPr>
        <w:numPr>
          <w:ilvl w:val="0"/>
          <w:numId w:val="1"/>
        </w:numPr>
        <w:tabs>
          <w:tab w:val="left" w:pos="0"/>
          <w:tab w:val="left" w:pos="720"/>
        </w:tabs>
        <w:suppressAutoHyphens/>
        <w:spacing w:after="160"/>
        <w:jc w:val="both"/>
        <w:rPr>
          <w:rFonts w:ascii="Calibri Light" w:hAnsi="Calibri Light"/>
          <w:sz w:val="22"/>
          <w:szCs w:val="22"/>
        </w:rPr>
      </w:pPr>
      <w:r w:rsidRPr="00333999">
        <w:rPr>
          <w:rFonts w:ascii="Calibri Light" w:hAnsi="Calibri Light"/>
          <w:sz w:val="22"/>
          <w:szCs w:val="22"/>
        </w:rPr>
        <w:t xml:space="preserve">On May 1, 2009, McMillan LLP completed a transaction with </w:t>
      </w:r>
      <w:proofErr w:type="spellStart"/>
      <w:r w:rsidRPr="00333999">
        <w:rPr>
          <w:rFonts w:ascii="Calibri Light" w:hAnsi="Calibri Light"/>
          <w:sz w:val="22"/>
          <w:szCs w:val="22"/>
        </w:rPr>
        <w:t>Thackray</w:t>
      </w:r>
      <w:proofErr w:type="spellEnd"/>
      <w:r w:rsidRPr="00333999">
        <w:rPr>
          <w:rFonts w:ascii="Calibri Light" w:hAnsi="Calibri Light"/>
          <w:sz w:val="22"/>
          <w:szCs w:val="22"/>
        </w:rPr>
        <w:t xml:space="preserve"> Burgess Professional Corporation of Calgary where the Firm employed certain former </w:t>
      </w:r>
      <w:proofErr w:type="spellStart"/>
      <w:r w:rsidRPr="00333999">
        <w:rPr>
          <w:rFonts w:ascii="Calibri Light" w:hAnsi="Calibri Light"/>
          <w:sz w:val="22"/>
          <w:szCs w:val="22"/>
        </w:rPr>
        <w:t>Thackray</w:t>
      </w:r>
      <w:proofErr w:type="spellEnd"/>
      <w:r w:rsidRPr="00333999">
        <w:rPr>
          <w:rFonts w:ascii="Calibri Light" w:hAnsi="Calibri Light"/>
          <w:sz w:val="22"/>
          <w:szCs w:val="22"/>
        </w:rPr>
        <w:t xml:space="preserve"> Burgess lawyers and certain other lawyers from that firm became partners at the Firm.  While the two firms were not formally merging, for the purpose of insurance, CLLAS considers this as a merger and recognizes </w:t>
      </w:r>
      <w:proofErr w:type="spellStart"/>
      <w:r w:rsidRPr="00333999">
        <w:rPr>
          <w:rFonts w:ascii="Calibri Light" w:hAnsi="Calibri Light"/>
          <w:sz w:val="22"/>
          <w:szCs w:val="22"/>
        </w:rPr>
        <w:t>Thackray</w:t>
      </w:r>
      <w:proofErr w:type="spellEnd"/>
      <w:r w:rsidRPr="00333999">
        <w:rPr>
          <w:rFonts w:ascii="Calibri Light" w:hAnsi="Calibri Light"/>
          <w:sz w:val="22"/>
          <w:szCs w:val="22"/>
        </w:rPr>
        <w:t xml:space="preserve"> Burgess as a predecessor firm. </w:t>
      </w:r>
    </w:p>
    <w:p w:rsidR="00333999" w:rsidRPr="00333999" w:rsidRDefault="00333999" w:rsidP="00333999">
      <w:pPr>
        <w:numPr>
          <w:ilvl w:val="0"/>
          <w:numId w:val="1"/>
        </w:numPr>
        <w:tabs>
          <w:tab w:val="left" w:pos="0"/>
          <w:tab w:val="left" w:pos="720"/>
        </w:tabs>
        <w:suppressAutoHyphens/>
        <w:spacing w:after="160"/>
        <w:jc w:val="both"/>
        <w:rPr>
          <w:rFonts w:ascii="Calibri Light" w:hAnsi="Calibri Light"/>
          <w:spacing w:val="-2"/>
          <w:sz w:val="22"/>
        </w:rPr>
      </w:pPr>
      <w:r w:rsidRPr="00333999">
        <w:rPr>
          <w:rFonts w:ascii="Calibri Light" w:hAnsi="Calibri Light"/>
          <w:spacing w:val="-2"/>
          <w:sz w:val="22"/>
        </w:rPr>
        <w:t>On January 1, 2011, McMillan LLP and Lang Michener LLP merged and operates under the name McMillan LLP.</w:t>
      </w:r>
    </w:p>
    <w:p w:rsidR="00333999" w:rsidRPr="00333999" w:rsidRDefault="00333999" w:rsidP="00333999">
      <w:pPr>
        <w:numPr>
          <w:ilvl w:val="0"/>
          <w:numId w:val="1"/>
        </w:numPr>
        <w:tabs>
          <w:tab w:val="left" w:pos="0"/>
          <w:tab w:val="left" w:pos="720"/>
        </w:tabs>
        <w:suppressAutoHyphens/>
        <w:spacing w:after="160"/>
        <w:jc w:val="both"/>
        <w:rPr>
          <w:rFonts w:ascii="Calibri Light" w:hAnsi="Calibri Light"/>
          <w:spacing w:val="-2"/>
          <w:sz w:val="22"/>
        </w:rPr>
      </w:pPr>
      <w:r w:rsidRPr="00333999">
        <w:rPr>
          <w:rFonts w:ascii="Calibri Light" w:hAnsi="Calibri Light"/>
          <w:spacing w:val="-2"/>
          <w:sz w:val="22"/>
        </w:rPr>
        <w:t xml:space="preserve">McMillan </w:t>
      </w:r>
      <w:proofErr w:type="spellStart"/>
      <w:r w:rsidRPr="00333999">
        <w:rPr>
          <w:rFonts w:ascii="Calibri Light" w:hAnsi="Calibri Light"/>
          <w:spacing w:val="-2"/>
          <w:sz w:val="22"/>
        </w:rPr>
        <w:t>Binch</w:t>
      </w:r>
      <w:proofErr w:type="spellEnd"/>
      <w:r w:rsidRPr="00333999">
        <w:rPr>
          <w:rFonts w:ascii="Calibri Light" w:hAnsi="Calibri Light"/>
          <w:spacing w:val="-2"/>
          <w:sz w:val="22"/>
        </w:rPr>
        <w:t xml:space="preserve"> LLP had formed a national association with two other law firms, Bull, </w:t>
      </w:r>
      <w:proofErr w:type="spellStart"/>
      <w:r w:rsidRPr="00333999">
        <w:rPr>
          <w:rFonts w:ascii="Calibri Light" w:hAnsi="Calibri Light"/>
          <w:spacing w:val="-2"/>
          <w:sz w:val="22"/>
        </w:rPr>
        <w:t>Housser</w:t>
      </w:r>
      <w:proofErr w:type="spellEnd"/>
      <w:r w:rsidRPr="00333999">
        <w:rPr>
          <w:rFonts w:ascii="Calibri Light" w:hAnsi="Calibri Light"/>
          <w:spacing w:val="-2"/>
          <w:sz w:val="22"/>
        </w:rPr>
        <w:t xml:space="preserve"> &amp; Tupper of Vancouver and Surrey and Byers </w:t>
      </w:r>
      <w:proofErr w:type="spellStart"/>
      <w:r w:rsidRPr="00333999">
        <w:rPr>
          <w:rFonts w:ascii="Calibri Light" w:hAnsi="Calibri Light"/>
          <w:spacing w:val="-2"/>
          <w:sz w:val="22"/>
        </w:rPr>
        <w:t>Casgrain</w:t>
      </w:r>
      <w:proofErr w:type="spellEnd"/>
      <w:r w:rsidRPr="00333999">
        <w:rPr>
          <w:rFonts w:ascii="Calibri Light" w:hAnsi="Calibri Light"/>
          <w:spacing w:val="-2"/>
          <w:sz w:val="22"/>
        </w:rPr>
        <w:t xml:space="preserve"> of Montreal.  The national association brought the three firms together for the purpose of providing enhanced levels of service to clients in </w:t>
      </w:r>
      <w:smartTag w:uri="urn:schemas-microsoft-com:office:smarttags" w:element="place">
        <w:smartTag w:uri="urn:schemas-microsoft-com:office:smarttags" w:element="country-region">
          <w:r w:rsidRPr="00333999">
            <w:rPr>
              <w:rFonts w:ascii="Calibri Light" w:hAnsi="Calibri Light"/>
              <w:spacing w:val="-2"/>
              <w:sz w:val="22"/>
            </w:rPr>
            <w:t>Canada</w:t>
          </w:r>
        </w:smartTag>
      </w:smartTag>
      <w:r w:rsidRPr="00333999">
        <w:rPr>
          <w:rFonts w:ascii="Calibri Light" w:hAnsi="Calibri Light"/>
          <w:spacing w:val="-2"/>
          <w:sz w:val="22"/>
        </w:rPr>
        <w:t>.</w:t>
      </w:r>
    </w:p>
    <w:p w:rsidR="00333999" w:rsidRPr="00333999" w:rsidRDefault="00333999" w:rsidP="00333999">
      <w:pPr>
        <w:numPr>
          <w:ilvl w:val="0"/>
          <w:numId w:val="1"/>
        </w:numPr>
        <w:tabs>
          <w:tab w:val="left" w:pos="0"/>
          <w:tab w:val="left" w:pos="720"/>
        </w:tabs>
        <w:suppressAutoHyphens/>
        <w:spacing w:after="160"/>
        <w:jc w:val="both"/>
        <w:rPr>
          <w:rFonts w:ascii="Calibri Light" w:hAnsi="Calibri Light"/>
          <w:spacing w:val="-2"/>
          <w:sz w:val="22"/>
        </w:rPr>
      </w:pPr>
      <w:r w:rsidRPr="00333999">
        <w:rPr>
          <w:rFonts w:ascii="Calibri Light" w:hAnsi="Calibri Light"/>
          <w:spacing w:val="-2"/>
          <w:sz w:val="22"/>
        </w:rPr>
        <w:t xml:space="preserve">McMillan </w:t>
      </w:r>
      <w:proofErr w:type="spellStart"/>
      <w:r w:rsidRPr="00333999">
        <w:rPr>
          <w:rFonts w:ascii="Calibri Light" w:hAnsi="Calibri Light"/>
          <w:spacing w:val="-2"/>
          <w:sz w:val="22"/>
        </w:rPr>
        <w:t>Binch</w:t>
      </w:r>
      <w:proofErr w:type="spellEnd"/>
      <w:r w:rsidRPr="00333999">
        <w:rPr>
          <w:rFonts w:ascii="Calibri Light" w:hAnsi="Calibri Light"/>
          <w:spacing w:val="-2"/>
          <w:sz w:val="22"/>
        </w:rPr>
        <w:t xml:space="preserve"> LLP also formed an international partnership with the same two law firms in 1990.  This international partnership was known as McMillan Bull </w:t>
      </w:r>
      <w:proofErr w:type="spellStart"/>
      <w:r w:rsidRPr="00333999">
        <w:rPr>
          <w:rFonts w:ascii="Calibri Light" w:hAnsi="Calibri Light"/>
          <w:spacing w:val="-2"/>
          <w:sz w:val="22"/>
        </w:rPr>
        <w:t>Casgrain</w:t>
      </w:r>
      <w:proofErr w:type="spellEnd"/>
      <w:r w:rsidRPr="00333999">
        <w:rPr>
          <w:rFonts w:ascii="Calibri Light" w:hAnsi="Calibri Light"/>
          <w:spacing w:val="-2"/>
          <w:sz w:val="22"/>
        </w:rPr>
        <w:t xml:space="preserve"> and was formed for the purpose of </w:t>
      </w:r>
      <w:proofErr w:type="spellStart"/>
      <w:r w:rsidRPr="00333999">
        <w:rPr>
          <w:rFonts w:ascii="Calibri Light" w:hAnsi="Calibri Light"/>
          <w:spacing w:val="-2"/>
          <w:sz w:val="22"/>
        </w:rPr>
        <w:t>practising</w:t>
      </w:r>
      <w:proofErr w:type="spellEnd"/>
      <w:r w:rsidRPr="00333999">
        <w:rPr>
          <w:rFonts w:ascii="Calibri Light" w:hAnsi="Calibri Light"/>
          <w:spacing w:val="-2"/>
          <w:sz w:val="22"/>
        </w:rPr>
        <w:t xml:space="preserve"> Canadian law outside </w:t>
      </w:r>
      <w:smartTag w:uri="urn:schemas-microsoft-com:office:smarttags" w:element="place">
        <w:smartTag w:uri="urn:schemas-microsoft-com:office:smarttags" w:element="country-region">
          <w:r w:rsidRPr="00333999">
            <w:rPr>
              <w:rFonts w:ascii="Calibri Light" w:hAnsi="Calibri Light"/>
              <w:spacing w:val="-2"/>
              <w:sz w:val="22"/>
            </w:rPr>
            <w:t>Canada</w:t>
          </w:r>
        </w:smartTag>
      </w:smartTag>
      <w:r w:rsidRPr="00333999">
        <w:rPr>
          <w:rFonts w:ascii="Calibri Light" w:hAnsi="Calibri Light"/>
          <w:spacing w:val="-2"/>
          <w:sz w:val="22"/>
        </w:rPr>
        <w:t>.</w:t>
      </w:r>
    </w:p>
    <w:p w:rsidR="00333999" w:rsidRPr="00333999" w:rsidRDefault="00333999" w:rsidP="00333999">
      <w:pPr>
        <w:numPr>
          <w:ilvl w:val="0"/>
          <w:numId w:val="1"/>
        </w:numPr>
        <w:tabs>
          <w:tab w:val="left" w:pos="0"/>
          <w:tab w:val="left" w:pos="720"/>
        </w:tabs>
        <w:suppressAutoHyphens/>
        <w:spacing w:after="160"/>
        <w:jc w:val="both"/>
        <w:rPr>
          <w:rFonts w:ascii="Calibri Light" w:hAnsi="Calibri Light"/>
          <w:spacing w:val="-2"/>
          <w:sz w:val="22"/>
        </w:rPr>
      </w:pPr>
      <w:r w:rsidRPr="00333999">
        <w:rPr>
          <w:rFonts w:ascii="Calibri Light" w:hAnsi="Calibri Light"/>
          <w:spacing w:val="-2"/>
          <w:sz w:val="22"/>
        </w:rPr>
        <w:t xml:space="preserve">In 1993, McMillan Bull </w:t>
      </w:r>
      <w:proofErr w:type="spellStart"/>
      <w:r w:rsidRPr="00333999">
        <w:rPr>
          <w:rFonts w:ascii="Calibri Light" w:hAnsi="Calibri Light"/>
          <w:spacing w:val="-2"/>
          <w:sz w:val="22"/>
        </w:rPr>
        <w:t>Casgrain</w:t>
      </w:r>
      <w:proofErr w:type="spellEnd"/>
      <w:r w:rsidRPr="00333999">
        <w:rPr>
          <w:rFonts w:ascii="Calibri Light" w:hAnsi="Calibri Light"/>
          <w:spacing w:val="-2"/>
          <w:sz w:val="22"/>
        </w:rPr>
        <w:t xml:space="preserve"> entered into an association with the </w:t>
      </w:r>
      <w:smartTag w:uri="urn:schemas-microsoft-com:office:smarttags" w:element="place">
        <w:r w:rsidRPr="00333999">
          <w:rPr>
            <w:rFonts w:ascii="Calibri Light" w:hAnsi="Calibri Light"/>
            <w:spacing w:val="-2"/>
            <w:sz w:val="22"/>
          </w:rPr>
          <w:t>Hong Kong</w:t>
        </w:r>
      </w:smartTag>
      <w:r w:rsidRPr="00333999">
        <w:rPr>
          <w:rFonts w:ascii="Calibri Light" w:hAnsi="Calibri Light"/>
          <w:spacing w:val="-2"/>
          <w:sz w:val="22"/>
        </w:rPr>
        <w:t xml:space="preserve"> firm of Robert W.H. Wang &amp; Co.  The association was later terminated.</w:t>
      </w:r>
    </w:p>
    <w:p w:rsidR="00333999" w:rsidRPr="00333999" w:rsidRDefault="00333999" w:rsidP="00333999">
      <w:pPr>
        <w:numPr>
          <w:ilvl w:val="0"/>
          <w:numId w:val="1"/>
        </w:numPr>
        <w:tabs>
          <w:tab w:val="left" w:pos="0"/>
          <w:tab w:val="left" w:pos="720"/>
        </w:tabs>
        <w:suppressAutoHyphens/>
        <w:spacing w:after="160"/>
        <w:jc w:val="both"/>
        <w:rPr>
          <w:rFonts w:ascii="Calibri Light" w:hAnsi="Calibri Light"/>
          <w:spacing w:val="-2"/>
          <w:sz w:val="22"/>
        </w:rPr>
      </w:pPr>
      <w:r w:rsidRPr="00333999">
        <w:rPr>
          <w:rFonts w:ascii="Calibri Light" w:hAnsi="Calibri Light"/>
          <w:spacing w:val="-2"/>
          <w:sz w:val="22"/>
        </w:rPr>
        <w:t xml:space="preserve">The McMillan Bull </w:t>
      </w:r>
      <w:proofErr w:type="spellStart"/>
      <w:r w:rsidRPr="00333999">
        <w:rPr>
          <w:rFonts w:ascii="Calibri Light" w:hAnsi="Calibri Light"/>
          <w:spacing w:val="-2"/>
          <w:sz w:val="22"/>
        </w:rPr>
        <w:t>Casgrain</w:t>
      </w:r>
      <w:proofErr w:type="spellEnd"/>
      <w:r w:rsidRPr="00333999">
        <w:rPr>
          <w:rFonts w:ascii="Calibri Light" w:hAnsi="Calibri Light"/>
          <w:spacing w:val="-2"/>
          <w:sz w:val="22"/>
        </w:rPr>
        <w:t xml:space="preserve"> association ended on </w:t>
      </w:r>
      <w:smartTag w:uri="urn:schemas-microsoft-com:office:smarttags" w:element="date">
        <w:smartTagPr>
          <w:attr w:name="Year" w:val="2000"/>
          <w:attr w:name="Day" w:val="31"/>
          <w:attr w:name="Month" w:val="1"/>
        </w:smartTagPr>
        <w:r w:rsidRPr="00333999">
          <w:rPr>
            <w:rFonts w:ascii="Calibri Light" w:hAnsi="Calibri Light"/>
            <w:spacing w:val="-2"/>
            <w:sz w:val="22"/>
          </w:rPr>
          <w:t>January 31, 2000</w:t>
        </w:r>
      </w:smartTag>
      <w:r w:rsidRPr="00333999">
        <w:rPr>
          <w:rFonts w:ascii="Calibri Light" w:hAnsi="Calibri Light"/>
          <w:spacing w:val="-2"/>
          <w:sz w:val="22"/>
        </w:rPr>
        <w:t>.</w:t>
      </w:r>
    </w:p>
    <w:p w:rsidR="00333999" w:rsidRPr="00333999" w:rsidRDefault="00333999" w:rsidP="00333999">
      <w:pPr>
        <w:numPr>
          <w:ilvl w:val="0"/>
          <w:numId w:val="1"/>
        </w:numPr>
        <w:tabs>
          <w:tab w:val="left" w:pos="0"/>
          <w:tab w:val="left" w:pos="720"/>
        </w:tabs>
        <w:suppressAutoHyphens/>
        <w:spacing w:after="160"/>
        <w:jc w:val="both"/>
        <w:rPr>
          <w:rFonts w:ascii="Calibri Light" w:hAnsi="Calibri Light"/>
          <w:spacing w:val="-2"/>
          <w:sz w:val="22"/>
        </w:rPr>
      </w:pPr>
      <w:r w:rsidRPr="00333999">
        <w:rPr>
          <w:rFonts w:ascii="Calibri Light" w:hAnsi="Calibri Light"/>
          <w:spacing w:val="-2"/>
          <w:sz w:val="22"/>
        </w:rPr>
        <w:t xml:space="preserve">There is an endorsement on the policy with respect to McMillan Bull </w:t>
      </w:r>
      <w:proofErr w:type="spellStart"/>
      <w:r w:rsidRPr="00333999">
        <w:rPr>
          <w:rFonts w:ascii="Calibri Light" w:hAnsi="Calibri Light"/>
          <w:spacing w:val="-2"/>
          <w:sz w:val="22"/>
        </w:rPr>
        <w:t>Casgrain</w:t>
      </w:r>
      <w:proofErr w:type="spellEnd"/>
      <w:r w:rsidRPr="00333999">
        <w:rPr>
          <w:rFonts w:ascii="Calibri Light" w:hAnsi="Calibri Light"/>
          <w:spacing w:val="-2"/>
          <w:sz w:val="22"/>
        </w:rPr>
        <w:t xml:space="preserve"> to cover possible claims relating to the period during which the partnership was in operation.</w:t>
      </w:r>
    </w:p>
    <w:p w:rsidR="00333999" w:rsidRDefault="00333999" w:rsidP="00333999">
      <w:pPr>
        <w:numPr>
          <w:ilvl w:val="0"/>
          <w:numId w:val="1"/>
        </w:numPr>
        <w:tabs>
          <w:tab w:val="left" w:pos="0"/>
          <w:tab w:val="left" w:pos="720"/>
        </w:tabs>
        <w:suppressAutoHyphens/>
        <w:spacing w:after="160"/>
        <w:jc w:val="both"/>
        <w:rPr>
          <w:rFonts w:ascii="Calibri Light" w:hAnsi="Calibri Light"/>
          <w:spacing w:val="-2"/>
          <w:sz w:val="22"/>
        </w:rPr>
      </w:pPr>
      <w:r w:rsidRPr="00333999">
        <w:rPr>
          <w:rFonts w:ascii="Calibri Light" w:hAnsi="Calibri Light"/>
          <w:spacing w:val="-2"/>
          <w:sz w:val="22"/>
        </w:rPr>
        <w:t xml:space="preserve">Coverage is provided to </w:t>
      </w:r>
      <w:proofErr w:type="spellStart"/>
      <w:r w:rsidRPr="00333999">
        <w:rPr>
          <w:rFonts w:ascii="Calibri Light" w:hAnsi="Calibri Light"/>
          <w:spacing w:val="-2"/>
          <w:sz w:val="22"/>
        </w:rPr>
        <w:t>Thackray</w:t>
      </w:r>
      <w:proofErr w:type="spellEnd"/>
      <w:r w:rsidRPr="00333999">
        <w:rPr>
          <w:rFonts w:ascii="Calibri Light" w:hAnsi="Calibri Light"/>
          <w:spacing w:val="-2"/>
          <w:sz w:val="22"/>
        </w:rPr>
        <w:t xml:space="preserve"> Burgess Professional Corporation and its predecessor firms, namely </w:t>
      </w:r>
      <w:proofErr w:type="spellStart"/>
      <w:r w:rsidRPr="00333999">
        <w:rPr>
          <w:rFonts w:ascii="Calibri Light" w:hAnsi="Calibri Light"/>
          <w:spacing w:val="-2"/>
          <w:sz w:val="22"/>
        </w:rPr>
        <w:t>Blanie</w:t>
      </w:r>
      <w:proofErr w:type="spellEnd"/>
      <w:r w:rsidRPr="00333999">
        <w:rPr>
          <w:rFonts w:ascii="Calibri Light" w:hAnsi="Calibri Light"/>
          <w:spacing w:val="-2"/>
          <w:sz w:val="22"/>
        </w:rPr>
        <w:t xml:space="preserve"> &amp; Company and Evans </w:t>
      </w:r>
      <w:proofErr w:type="spellStart"/>
      <w:r w:rsidRPr="00333999">
        <w:rPr>
          <w:rFonts w:ascii="Calibri Light" w:hAnsi="Calibri Light"/>
          <w:spacing w:val="-2"/>
          <w:sz w:val="22"/>
        </w:rPr>
        <w:t>Higa</w:t>
      </w:r>
      <w:proofErr w:type="spellEnd"/>
      <w:r w:rsidRPr="00333999">
        <w:rPr>
          <w:rFonts w:ascii="Calibri Light" w:hAnsi="Calibri Light"/>
          <w:spacing w:val="-2"/>
          <w:sz w:val="22"/>
        </w:rPr>
        <w:t xml:space="preserve"> Burgess.</w:t>
      </w:r>
    </w:p>
    <w:p w:rsidR="00333999" w:rsidRPr="00333999" w:rsidRDefault="00333999" w:rsidP="001945E8">
      <w:pPr>
        <w:pStyle w:val="ListParagraph"/>
        <w:numPr>
          <w:ilvl w:val="0"/>
          <w:numId w:val="1"/>
        </w:numPr>
        <w:tabs>
          <w:tab w:val="left" w:pos="0"/>
          <w:tab w:val="left" w:pos="720"/>
        </w:tabs>
        <w:suppressAutoHyphens/>
        <w:spacing w:after="160"/>
        <w:jc w:val="both"/>
        <w:rPr>
          <w:rFonts w:ascii="Calibri Light" w:hAnsi="Calibri Light"/>
          <w:spacing w:val="-2"/>
          <w:sz w:val="22"/>
        </w:rPr>
      </w:pPr>
      <w:r w:rsidRPr="00333999">
        <w:rPr>
          <w:rFonts w:ascii="Calibri Light" w:hAnsi="Calibri Light"/>
          <w:spacing w:val="-2"/>
          <w:sz w:val="22"/>
          <w:szCs w:val="22"/>
        </w:rPr>
        <w:t xml:space="preserve">Coverage is also provided to Lang Michener LLP and its predecessor firms, namely Lang Michener; </w:t>
      </w:r>
      <w:r w:rsidRPr="00333999">
        <w:rPr>
          <w:rFonts w:ascii="Calibri Light" w:hAnsi="Calibri Light"/>
          <w:sz w:val="22"/>
          <w:szCs w:val="22"/>
        </w:rPr>
        <w:t xml:space="preserve">Lang Michener Lawrence &amp; Shaw; Lang Michener Honeywell </w:t>
      </w:r>
      <w:proofErr w:type="spellStart"/>
      <w:r w:rsidRPr="00333999">
        <w:rPr>
          <w:rFonts w:ascii="Calibri Light" w:hAnsi="Calibri Light"/>
          <w:sz w:val="22"/>
          <w:szCs w:val="22"/>
        </w:rPr>
        <w:t>Wotherspoon</w:t>
      </w:r>
      <w:proofErr w:type="spellEnd"/>
      <w:r w:rsidRPr="00333999">
        <w:rPr>
          <w:rFonts w:ascii="Calibri Light" w:hAnsi="Calibri Light"/>
          <w:sz w:val="22"/>
          <w:szCs w:val="22"/>
        </w:rPr>
        <w:t xml:space="preserve">; Lang Michener Lash Johnston; Smith, Shaver; Honeywell, </w:t>
      </w:r>
      <w:proofErr w:type="spellStart"/>
      <w:r w:rsidRPr="00333999">
        <w:rPr>
          <w:rFonts w:ascii="Calibri Light" w:hAnsi="Calibri Light"/>
          <w:sz w:val="22"/>
          <w:szCs w:val="22"/>
        </w:rPr>
        <w:t>Wotherspoon</w:t>
      </w:r>
      <w:proofErr w:type="spellEnd"/>
      <w:r w:rsidRPr="00333999">
        <w:rPr>
          <w:rFonts w:ascii="Calibri Light" w:hAnsi="Calibri Light"/>
          <w:sz w:val="22"/>
          <w:szCs w:val="22"/>
        </w:rPr>
        <w:t xml:space="preserve">; Lawrence &amp; Shaw; Lash, Johnston; Lang Michener Cranston Farquharson &amp; Wright and Robertson Ward </w:t>
      </w:r>
      <w:proofErr w:type="spellStart"/>
      <w:r w:rsidRPr="00333999">
        <w:rPr>
          <w:rFonts w:ascii="Calibri Light" w:hAnsi="Calibri Light"/>
          <w:sz w:val="22"/>
          <w:szCs w:val="22"/>
        </w:rPr>
        <w:t>Suderman</w:t>
      </w:r>
      <w:proofErr w:type="spellEnd"/>
      <w:r w:rsidRPr="00333999">
        <w:rPr>
          <w:rFonts w:ascii="Calibri Light" w:hAnsi="Calibri Light"/>
          <w:sz w:val="22"/>
          <w:szCs w:val="22"/>
        </w:rPr>
        <w:t>.</w:t>
      </w:r>
      <w:bookmarkStart w:id="0" w:name="_GoBack"/>
      <w:bookmarkEnd w:id="0"/>
    </w:p>
    <w:sectPr w:rsidR="00333999" w:rsidRPr="003339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C0A3C67"/>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4D864E98"/>
    <w:multiLevelType w:val="hybridMultilevel"/>
    <w:tmpl w:val="E18077D6"/>
    <w:lvl w:ilvl="0" w:tplc="FFFFFFFF">
      <w:start w:val="1"/>
      <w:numFmt w:val="bullet"/>
      <w:lvlText w:val=""/>
      <w:legacy w:legacy="1" w:legacySpace="0" w:legacyIndent="432"/>
      <w:lvlJc w:val="left"/>
      <w:pPr>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E2D53AC"/>
    <w:multiLevelType w:val="singleLevel"/>
    <w:tmpl w:val="5A82B590"/>
    <w:lvl w:ilvl="0">
      <w:start w:val="1"/>
      <w:numFmt w:val="bullet"/>
      <w:lvlText w:val=""/>
      <w:lvlJc w:val="left"/>
      <w:pPr>
        <w:tabs>
          <w:tab w:val="num" w:pos="360"/>
        </w:tabs>
        <w:ind w:left="36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6FC"/>
    <w:rsid w:val="001517CB"/>
    <w:rsid w:val="00333999"/>
    <w:rsid w:val="004B456E"/>
    <w:rsid w:val="008439BD"/>
    <w:rsid w:val="009436FC"/>
    <w:rsid w:val="0099143C"/>
    <w:rsid w:val="00AC2008"/>
    <w:rsid w:val="00D541EE"/>
    <w:rsid w:val="00DF4A38"/>
    <w:rsid w:val="00DF63C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date"/>
  <w:shapeDefaults>
    <o:shapedefaults v:ext="edit" spidmax="1026"/>
    <o:shapelayout v:ext="edit">
      <o:idmap v:ext="edit" data="1"/>
    </o:shapelayout>
  </w:shapeDefaults>
  <w:decimalSymbol w:val="."/>
  <w:listSeparator w:val=","/>
  <w15:chartTrackingRefBased/>
  <w15:docId w15:val="{ABD5C78B-1B76-48A2-8F44-CCB72A00C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9BD"/>
    <w:pPr>
      <w:widowControl w:val="0"/>
      <w:spacing w:after="0" w:line="240" w:lineRule="auto"/>
    </w:pPr>
    <w:rPr>
      <w:rFonts w:ascii="Univers" w:eastAsia="Times New Roman" w:hAnsi="Univers"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6FC"/>
    <w:pPr>
      <w:ind w:left="720"/>
      <w:contextualSpacing/>
    </w:pPr>
  </w:style>
  <w:style w:type="paragraph" w:styleId="BodyTextIndent">
    <w:name w:val="Body Text Indent"/>
    <w:basedOn w:val="Normal"/>
    <w:link w:val="BodyTextIndentChar"/>
    <w:rsid w:val="008439BD"/>
    <w:pPr>
      <w:widowControl/>
      <w:tabs>
        <w:tab w:val="left" w:pos="1170"/>
        <w:tab w:val="left" w:pos="3690"/>
        <w:tab w:val="left" w:pos="8280"/>
      </w:tabs>
      <w:suppressAutoHyphens/>
      <w:ind w:left="3690" w:hanging="2520"/>
      <w:jc w:val="both"/>
    </w:pPr>
    <w:rPr>
      <w:rFonts w:ascii="Times New Roman" w:hAnsi="Times New Roman"/>
      <w:noProof/>
      <w:sz w:val="22"/>
    </w:rPr>
  </w:style>
  <w:style w:type="character" w:customStyle="1" w:styleId="BodyTextIndentChar">
    <w:name w:val="Body Text Indent Char"/>
    <w:basedOn w:val="DefaultParagraphFont"/>
    <w:link w:val="BodyTextIndent"/>
    <w:rsid w:val="008439BD"/>
    <w:rPr>
      <w:rFonts w:ascii="Times New Roman" w:eastAsia="Times New Roman" w:hAnsi="Times New Roman" w:cs="Times New Roman"/>
      <w:noProof/>
      <w:szCs w:val="20"/>
      <w:lang w:val="en-US"/>
    </w:rPr>
  </w:style>
  <w:style w:type="paragraph" w:styleId="BodyTextIndent3">
    <w:name w:val="Body Text Indent 3"/>
    <w:basedOn w:val="Normal"/>
    <w:link w:val="BodyTextIndent3Char"/>
    <w:rsid w:val="008439BD"/>
    <w:pPr>
      <w:tabs>
        <w:tab w:val="left" w:pos="0"/>
        <w:tab w:val="left" w:pos="450"/>
      </w:tabs>
      <w:suppressAutoHyphens/>
      <w:ind w:left="450"/>
      <w:jc w:val="both"/>
    </w:pPr>
    <w:rPr>
      <w:rFonts w:ascii="Times New Roman" w:hAnsi="Times New Roman"/>
      <w:spacing w:val="-2"/>
      <w:sz w:val="22"/>
    </w:rPr>
  </w:style>
  <w:style w:type="character" w:customStyle="1" w:styleId="BodyTextIndent3Char">
    <w:name w:val="Body Text Indent 3 Char"/>
    <w:basedOn w:val="DefaultParagraphFont"/>
    <w:link w:val="BodyTextIndent3"/>
    <w:rsid w:val="008439BD"/>
    <w:rPr>
      <w:rFonts w:ascii="Times New Roman" w:eastAsia="Times New Roman" w:hAnsi="Times New Roman" w:cs="Times New Roman"/>
      <w:spacing w:val="-2"/>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MeaganPhillips</dc:creator>
  <cp:keywords/>
  <dc:description/>
  <cp:lastModifiedBy>MeaganPhillips</cp:lastModifiedBy>
  <cp:revision>2</cp:revision>
  <dcterms:created xsi:type="dcterms:W3CDTF">2016-02-04T21:03:00Z</dcterms:created>
  <dcterms:modified xsi:type="dcterms:W3CDTF">2016-02-04T21:03:00Z</dcterms:modified>
</cp:coreProperties>
</file>